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37" w:rsidRPr="001E648B" w:rsidRDefault="00870567" w:rsidP="001E648B">
      <w:pPr>
        <w:jc w:val="center"/>
        <w:rPr>
          <w:rFonts w:asciiTheme="majorHAnsi" w:hAnsiTheme="majorHAnsi"/>
          <w:b/>
          <w:sz w:val="28"/>
          <w:szCs w:val="28"/>
          <w:lang w:val="ro-RO"/>
        </w:rPr>
      </w:pPr>
      <w:r w:rsidRPr="001E648B">
        <w:rPr>
          <w:rFonts w:asciiTheme="majorHAnsi" w:hAnsiTheme="majorHAnsi"/>
          <w:b/>
          <w:sz w:val="28"/>
          <w:szCs w:val="28"/>
          <w:lang w:val="ro-RO"/>
        </w:rPr>
        <w:t>Direcţia învăţămînt Hînceşti</w:t>
      </w:r>
    </w:p>
    <w:p w:rsidR="00870567" w:rsidRPr="001E648B" w:rsidRDefault="00870567" w:rsidP="001E648B">
      <w:pPr>
        <w:jc w:val="center"/>
        <w:rPr>
          <w:rFonts w:asciiTheme="majorHAnsi" w:hAnsiTheme="majorHAnsi"/>
          <w:b/>
          <w:lang w:val="ro-RO"/>
        </w:rPr>
      </w:pPr>
    </w:p>
    <w:p w:rsidR="00870567" w:rsidRPr="001E648B" w:rsidRDefault="00870567" w:rsidP="001E648B">
      <w:pPr>
        <w:jc w:val="center"/>
        <w:rPr>
          <w:rFonts w:asciiTheme="majorHAnsi" w:hAnsiTheme="majorHAnsi"/>
          <w:b/>
          <w:lang w:val="ro-RO"/>
        </w:rPr>
      </w:pPr>
      <w:r w:rsidRPr="001E648B">
        <w:rPr>
          <w:rFonts w:asciiTheme="majorHAnsi" w:hAnsiTheme="majorHAnsi"/>
          <w:b/>
          <w:lang w:val="ro-RO"/>
        </w:rPr>
        <w:t>ORDIN</w:t>
      </w:r>
    </w:p>
    <w:p w:rsidR="00870567" w:rsidRDefault="007D6035" w:rsidP="00217526">
      <w:pPr>
        <w:jc w:val="center"/>
        <w:rPr>
          <w:rFonts w:asciiTheme="majorHAnsi" w:hAnsiTheme="majorHAnsi"/>
          <w:b/>
          <w:lang w:val="ro-RO"/>
        </w:rPr>
      </w:pPr>
      <w:r>
        <w:rPr>
          <w:rFonts w:asciiTheme="majorHAnsi" w:hAnsiTheme="majorHAnsi"/>
          <w:b/>
          <w:lang w:val="ro-RO"/>
        </w:rPr>
        <w:t>Nr. 245-b</w:t>
      </w:r>
      <w:r w:rsidR="00870567" w:rsidRPr="001E648B">
        <w:rPr>
          <w:rFonts w:asciiTheme="majorHAnsi" w:hAnsiTheme="majorHAnsi"/>
          <w:b/>
          <w:lang w:val="ro-RO"/>
        </w:rPr>
        <w:t xml:space="preserve"> din </w:t>
      </w:r>
      <w:r>
        <w:rPr>
          <w:rFonts w:asciiTheme="majorHAnsi" w:hAnsiTheme="majorHAnsi"/>
          <w:b/>
          <w:lang w:val="ro-RO"/>
        </w:rPr>
        <w:t>10.10.2013</w:t>
      </w:r>
    </w:p>
    <w:p w:rsidR="00D10FA0" w:rsidRPr="00D10FA0" w:rsidRDefault="00D10FA0" w:rsidP="00D10FA0">
      <w:pPr>
        <w:spacing w:line="240" w:lineRule="auto"/>
        <w:rPr>
          <w:rFonts w:asciiTheme="majorHAnsi" w:hAnsiTheme="majorHAnsi"/>
          <w:b/>
          <w:i/>
          <w:lang w:val="ro-RO"/>
        </w:rPr>
      </w:pPr>
      <w:r>
        <w:rPr>
          <w:rFonts w:asciiTheme="majorHAnsi" w:hAnsiTheme="majorHAnsi"/>
          <w:lang w:val="ro-RO"/>
        </w:rPr>
        <w:t xml:space="preserve"> </w:t>
      </w:r>
      <w:r w:rsidRPr="00D10FA0">
        <w:rPr>
          <w:rFonts w:asciiTheme="majorHAnsi" w:hAnsiTheme="majorHAnsi"/>
          <w:b/>
          <w:i/>
          <w:lang w:val="ro-RO"/>
        </w:rPr>
        <w:t xml:space="preserve">Cu privire la şcolarizare a copiilor cu cerinţe </w:t>
      </w:r>
    </w:p>
    <w:p w:rsidR="00D10FA0" w:rsidRPr="00D10FA0" w:rsidRDefault="00D10FA0" w:rsidP="00D10FA0">
      <w:pPr>
        <w:spacing w:line="240" w:lineRule="auto"/>
        <w:rPr>
          <w:rFonts w:asciiTheme="majorHAnsi" w:hAnsiTheme="majorHAnsi"/>
          <w:b/>
          <w:i/>
          <w:lang w:val="ro-RO"/>
        </w:rPr>
      </w:pPr>
      <w:r w:rsidRPr="00D10FA0">
        <w:rPr>
          <w:rFonts w:asciiTheme="majorHAnsi" w:hAnsiTheme="majorHAnsi"/>
          <w:b/>
          <w:i/>
          <w:lang w:val="ro-RO"/>
        </w:rPr>
        <w:t>educaţionale speciale în instituţiile de învăţămînt general</w:t>
      </w:r>
    </w:p>
    <w:p w:rsidR="00870567" w:rsidRDefault="00870567" w:rsidP="006F2C24">
      <w:pPr>
        <w:ind w:firstLine="708"/>
        <w:jc w:val="both"/>
        <w:rPr>
          <w:rFonts w:asciiTheme="majorHAnsi" w:hAnsiTheme="majorHAnsi"/>
          <w:lang w:val="ro-RO"/>
        </w:rPr>
      </w:pPr>
      <w:r>
        <w:rPr>
          <w:rFonts w:asciiTheme="majorHAnsi" w:hAnsiTheme="majorHAnsi"/>
          <w:lang w:val="ro-RO"/>
        </w:rPr>
        <w:t xml:space="preserve">În conformitate cu prevederile Hotărîrii Guvernului Republicii Moldova Nr. 351 din 29.05.2012 pentru aprobarea Regulamentului privind redirecţionarea resurselor financiare în cadrul reformării instituţiilor rezidenţiale, în temeiul ordinului Nr. 687 din 25 august 2010 al Ministerului Educaţiei şi în scopul asigurării condiţiilor de incluziune a copiilor dezinstituţionalizaţi din învăţămîntul rezidenţial, precum şi de şcolarizare a copiilor cu cerinţe educaţionale speciale în instituţiile de învăţămînt general, emit următorul  </w:t>
      </w:r>
    </w:p>
    <w:p w:rsidR="00870567" w:rsidRDefault="00870567" w:rsidP="001E648B">
      <w:pPr>
        <w:jc w:val="center"/>
        <w:rPr>
          <w:rFonts w:asciiTheme="majorHAnsi" w:hAnsiTheme="majorHAnsi"/>
          <w:lang w:val="ro-RO"/>
        </w:rPr>
      </w:pPr>
      <w:r w:rsidRPr="001E648B">
        <w:rPr>
          <w:rFonts w:asciiTheme="majorHAnsi" w:hAnsiTheme="majorHAnsi"/>
          <w:b/>
          <w:lang w:val="ro-RO"/>
        </w:rPr>
        <w:t>ORDIN</w:t>
      </w:r>
      <w:r>
        <w:rPr>
          <w:rFonts w:asciiTheme="majorHAnsi" w:hAnsiTheme="majorHAnsi"/>
          <w:lang w:val="ro-RO"/>
        </w:rPr>
        <w:t>:</w:t>
      </w:r>
    </w:p>
    <w:p w:rsidR="00870567" w:rsidRDefault="00870567" w:rsidP="00870567">
      <w:pPr>
        <w:pStyle w:val="a3"/>
        <w:numPr>
          <w:ilvl w:val="0"/>
          <w:numId w:val="1"/>
        </w:numPr>
        <w:jc w:val="both"/>
        <w:rPr>
          <w:rFonts w:asciiTheme="majorHAnsi" w:hAnsiTheme="majorHAnsi"/>
          <w:lang w:val="ro-RO"/>
        </w:rPr>
      </w:pPr>
      <w:r>
        <w:rPr>
          <w:rFonts w:asciiTheme="majorHAnsi" w:hAnsiTheme="majorHAnsi"/>
          <w:lang w:val="ro-RO"/>
        </w:rPr>
        <w:t>Se creează Centre de Resurse pe lîngă instituţiile educaţionale cu numărul corespunzător de copii cu CES şi se dotează cu echipamentul necesar procesului educaţional spaţiile din următoarele instituţii:</w:t>
      </w:r>
    </w:p>
    <w:p w:rsidR="00870567" w:rsidRDefault="00870567" w:rsidP="00870567">
      <w:pPr>
        <w:pStyle w:val="a3"/>
        <w:numPr>
          <w:ilvl w:val="0"/>
          <w:numId w:val="2"/>
        </w:numPr>
        <w:jc w:val="both"/>
        <w:rPr>
          <w:rFonts w:asciiTheme="majorHAnsi" w:hAnsiTheme="majorHAnsi"/>
          <w:lang w:val="ro-RO"/>
        </w:rPr>
      </w:pPr>
      <w:r>
        <w:rPr>
          <w:rFonts w:asciiTheme="majorHAnsi" w:hAnsiTheme="majorHAnsi"/>
          <w:lang w:val="ro-RO"/>
        </w:rPr>
        <w:t>LT „Şt. Holban” Cărpineni;</w:t>
      </w:r>
    </w:p>
    <w:p w:rsidR="00870567" w:rsidRDefault="00870567" w:rsidP="00870567">
      <w:pPr>
        <w:pStyle w:val="a3"/>
        <w:numPr>
          <w:ilvl w:val="0"/>
          <w:numId w:val="2"/>
        </w:numPr>
        <w:jc w:val="both"/>
        <w:rPr>
          <w:rFonts w:asciiTheme="majorHAnsi" w:hAnsiTheme="majorHAnsi"/>
          <w:lang w:val="ro-RO"/>
        </w:rPr>
      </w:pPr>
      <w:r>
        <w:rPr>
          <w:rFonts w:asciiTheme="majorHAnsi" w:hAnsiTheme="majorHAnsi"/>
          <w:lang w:val="ro-RO"/>
        </w:rPr>
        <w:t>LT „Universum” Sărata Galbenă;</w:t>
      </w:r>
    </w:p>
    <w:p w:rsidR="00870567" w:rsidRDefault="00870567" w:rsidP="00870567">
      <w:pPr>
        <w:pStyle w:val="a3"/>
        <w:numPr>
          <w:ilvl w:val="0"/>
          <w:numId w:val="2"/>
        </w:numPr>
        <w:jc w:val="both"/>
        <w:rPr>
          <w:rFonts w:asciiTheme="majorHAnsi" w:hAnsiTheme="majorHAnsi"/>
          <w:lang w:val="ro-RO"/>
        </w:rPr>
      </w:pPr>
      <w:r>
        <w:rPr>
          <w:rFonts w:asciiTheme="majorHAnsi" w:hAnsiTheme="majorHAnsi"/>
          <w:lang w:val="ro-RO"/>
        </w:rPr>
        <w:t>LT „M. Eminescu” Hînceşti;</w:t>
      </w:r>
    </w:p>
    <w:p w:rsidR="00870567" w:rsidRDefault="00870567" w:rsidP="00870567">
      <w:pPr>
        <w:pStyle w:val="a3"/>
        <w:numPr>
          <w:ilvl w:val="0"/>
          <w:numId w:val="2"/>
        </w:numPr>
        <w:jc w:val="both"/>
        <w:rPr>
          <w:rFonts w:asciiTheme="majorHAnsi" w:hAnsiTheme="majorHAnsi"/>
          <w:lang w:val="ro-RO"/>
        </w:rPr>
      </w:pPr>
      <w:r>
        <w:rPr>
          <w:rFonts w:asciiTheme="majorHAnsi" w:hAnsiTheme="majorHAnsi"/>
          <w:lang w:val="ro-RO"/>
        </w:rPr>
        <w:t>GM Fundul Galbenei;</w:t>
      </w:r>
    </w:p>
    <w:p w:rsidR="00870567" w:rsidRDefault="00576AA7" w:rsidP="00870567">
      <w:pPr>
        <w:pStyle w:val="a3"/>
        <w:numPr>
          <w:ilvl w:val="0"/>
          <w:numId w:val="2"/>
        </w:numPr>
        <w:jc w:val="both"/>
        <w:rPr>
          <w:rFonts w:asciiTheme="majorHAnsi" w:hAnsiTheme="majorHAnsi"/>
          <w:lang w:val="ro-RO"/>
        </w:rPr>
      </w:pPr>
      <w:r>
        <w:rPr>
          <w:rFonts w:asciiTheme="majorHAnsi" w:hAnsiTheme="majorHAnsi"/>
          <w:lang w:val="ro-RO"/>
        </w:rPr>
        <w:t>GM Logăneşti;</w:t>
      </w:r>
    </w:p>
    <w:p w:rsidR="00576AA7" w:rsidRDefault="00576AA7" w:rsidP="00870567">
      <w:pPr>
        <w:pStyle w:val="a3"/>
        <w:numPr>
          <w:ilvl w:val="0"/>
          <w:numId w:val="2"/>
        </w:numPr>
        <w:jc w:val="both"/>
        <w:rPr>
          <w:rFonts w:asciiTheme="majorHAnsi" w:hAnsiTheme="majorHAnsi"/>
          <w:lang w:val="ro-RO"/>
        </w:rPr>
      </w:pPr>
      <w:r>
        <w:rPr>
          <w:rFonts w:asciiTheme="majorHAnsi" w:hAnsiTheme="majorHAnsi"/>
          <w:lang w:val="ro-RO"/>
        </w:rPr>
        <w:t>GM Voinescu;</w:t>
      </w:r>
    </w:p>
    <w:p w:rsidR="00576AA7" w:rsidRDefault="00576AA7" w:rsidP="00870567">
      <w:pPr>
        <w:pStyle w:val="a3"/>
        <w:numPr>
          <w:ilvl w:val="0"/>
          <w:numId w:val="2"/>
        </w:numPr>
        <w:jc w:val="both"/>
        <w:rPr>
          <w:rFonts w:asciiTheme="majorHAnsi" w:hAnsiTheme="majorHAnsi"/>
          <w:lang w:val="ro-RO"/>
        </w:rPr>
      </w:pPr>
      <w:r>
        <w:rPr>
          <w:rFonts w:asciiTheme="majorHAnsi" w:hAnsiTheme="majorHAnsi"/>
          <w:lang w:val="ro-RO"/>
        </w:rPr>
        <w:t>Grădiniţa Lăpuşna;</w:t>
      </w:r>
    </w:p>
    <w:p w:rsidR="00576AA7" w:rsidRDefault="00576AA7" w:rsidP="00870567">
      <w:pPr>
        <w:pStyle w:val="a3"/>
        <w:numPr>
          <w:ilvl w:val="0"/>
          <w:numId w:val="2"/>
        </w:numPr>
        <w:jc w:val="both"/>
        <w:rPr>
          <w:rFonts w:asciiTheme="majorHAnsi" w:hAnsiTheme="majorHAnsi"/>
          <w:lang w:val="ro-RO"/>
        </w:rPr>
      </w:pPr>
      <w:r>
        <w:rPr>
          <w:rFonts w:asciiTheme="majorHAnsi" w:hAnsiTheme="majorHAnsi"/>
          <w:lang w:val="ro-RO"/>
        </w:rPr>
        <w:t>Grădiniţa nr. 3 Cărpineni;</w:t>
      </w:r>
    </w:p>
    <w:p w:rsidR="00576AA7" w:rsidRDefault="00576AA7" w:rsidP="00870567">
      <w:pPr>
        <w:pStyle w:val="a3"/>
        <w:numPr>
          <w:ilvl w:val="0"/>
          <w:numId w:val="2"/>
        </w:numPr>
        <w:jc w:val="both"/>
        <w:rPr>
          <w:rFonts w:asciiTheme="majorHAnsi" w:hAnsiTheme="majorHAnsi"/>
          <w:lang w:val="ro-RO"/>
        </w:rPr>
      </w:pPr>
      <w:r>
        <w:rPr>
          <w:rFonts w:asciiTheme="majorHAnsi" w:hAnsiTheme="majorHAnsi"/>
          <w:lang w:val="ro-RO"/>
        </w:rPr>
        <w:t>GM Boghiceni</w:t>
      </w:r>
    </w:p>
    <w:p w:rsidR="00576AA7" w:rsidRDefault="00576AA7" w:rsidP="00576AA7">
      <w:pPr>
        <w:pStyle w:val="a3"/>
        <w:numPr>
          <w:ilvl w:val="0"/>
          <w:numId w:val="1"/>
        </w:numPr>
        <w:jc w:val="both"/>
        <w:rPr>
          <w:rFonts w:asciiTheme="majorHAnsi" w:hAnsiTheme="majorHAnsi"/>
          <w:lang w:val="ro-RO"/>
        </w:rPr>
      </w:pPr>
      <w:r>
        <w:rPr>
          <w:rFonts w:asciiTheme="majorHAnsi" w:hAnsiTheme="majorHAnsi"/>
          <w:lang w:val="ro-RO"/>
        </w:rPr>
        <w:t>Se instituie funcţia de cadru didactic de sprijin, începînd cu 10 octombrie 2013, în următoarele instituţii educaţionale:</w:t>
      </w:r>
    </w:p>
    <w:p w:rsidR="00576AA7" w:rsidRDefault="00576AA7" w:rsidP="00576AA7">
      <w:pPr>
        <w:pStyle w:val="a3"/>
        <w:numPr>
          <w:ilvl w:val="0"/>
          <w:numId w:val="3"/>
        </w:numPr>
        <w:jc w:val="both"/>
        <w:rPr>
          <w:rFonts w:asciiTheme="majorHAnsi" w:hAnsiTheme="majorHAnsi"/>
          <w:lang w:val="ro-RO"/>
        </w:rPr>
      </w:pPr>
      <w:r>
        <w:rPr>
          <w:rFonts w:asciiTheme="majorHAnsi" w:hAnsiTheme="majorHAnsi"/>
          <w:lang w:val="ro-RO"/>
        </w:rPr>
        <w:t>Şcoala primară Mingir;</w:t>
      </w:r>
    </w:p>
    <w:p w:rsidR="00576AA7" w:rsidRDefault="00576AA7" w:rsidP="00576AA7">
      <w:pPr>
        <w:pStyle w:val="a3"/>
        <w:numPr>
          <w:ilvl w:val="0"/>
          <w:numId w:val="3"/>
        </w:numPr>
        <w:jc w:val="both"/>
        <w:rPr>
          <w:rFonts w:asciiTheme="majorHAnsi" w:hAnsiTheme="majorHAnsi"/>
          <w:lang w:val="ro-RO"/>
        </w:rPr>
      </w:pPr>
      <w:r>
        <w:rPr>
          <w:rFonts w:asciiTheme="majorHAnsi" w:hAnsiTheme="majorHAnsi"/>
          <w:lang w:val="ro-RO"/>
        </w:rPr>
        <w:t>GM Pogăneşti;</w:t>
      </w:r>
    </w:p>
    <w:p w:rsidR="00576AA7" w:rsidRDefault="00576AA7" w:rsidP="00576AA7">
      <w:pPr>
        <w:pStyle w:val="a3"/>
        <w:numPr>
          <w:ilvl w:val="0"/>
          <w:numId w:val="3"/>
        </w:numPr>
        <w:jc w:val="both"/>
        <w:rPr>
          <w:rFonts w:asciiTheme="majorHAnsi" w:hAnsiTheme="majorHAnsi"/>
          <w:lang w:val="ro-RO"/>
        </w:rPr>
      </w:pPr>
      <w:r>
        <w:rPr>
          <w:rFonts w:asciiTheme="majorHAnsi" w:hAnsiTheme="majorHAnsi"/>
          <w:lang w:val="ro-RO"/>
        </w:rPr>
        <w:t>GM Stolniceni;</w:t>
      </w:r>
    </w:p>
    <w:p w:rsidR="00576AA7" w:rsidRDefault="00576AA7" w:rsidP="00576AA7">
      <w:pPr>
        <w:pStyle w:val="a3"/>
        <w:numPr>
          <w:ilvl w:val="0"/>
          <w:numId w:val="3"/>
        </w:numPr>
        <w:jc w:val="both"/>
        <w:rPr>
          <w:rFonts w:asciiTheme="majorHAnsi" w:hAnsiTheme="majorHAnsi"/>
          <w:lang w:val="ro-RO"/>
        </w:rPr>
      </w:pPr>
      <w:r>
        <w:rPr>
          <w:rFonts w:asciiTheme="majorHAnsi" w:hAnsiTheme="majorHAnsi"/>
          <w:lang w:val="ro-RO"/>
        </w:rPr>
        <w:t>GM Călmăţui;</w:t>
      </w:r>
    </w:p>
    <w:p w:rsidR="00576AA7" w:rsidRDefault="00576AA7" w:rsidP="00576AA7">
      <w:pPr>
        <w:pStyle w:val="a3"/>
        <w:numPr>
          <w:ilvl w:val="0"/>
          <w:numId w:val="3"/>
        </w:numPr>
        <w:jc w:val="both"/>
        <w:rPr>
          <w:rFonts w:asciiTheme="majorHAnsi" w:hAnsiTheme="majorHAnsi"/>
          <w:lang w:val="ro-RO"/>
        </w:rPr>
      </w:pPr>
      <w:r>
        <w:rPr>
          <w:rFonts w:asciiTheme="majorHAnsi" w:hAnsiTheme="majorHAnsi"/>
          <w:lang w:val="ro-RO"/>
        </w:rPr>
        <w:t>GM Secăreni;</w:t>
      </w:r>
    </w:p>
    <w:p w:rsidR="00576AA7" w:rsidRDefault="00576AA7" w:rsidP="00576AA7">
      <w:pPr>
        <w:pStyle w:val="a3"/>
        <w:numPr>
          <w:ilvl w:val="0"/>
          <w:numId w:val="3"/>
        </w:numPr>
        <w:jc w:val="both"/>
        <w:rPr>
          <w:rFonts w:asciiTheme="majorHAnsi" w:hAnsiTheme="majorHAnsi"/>
          <w:lang w:val="ro-RO"/>
        </w:rPr>
      </w:pPr>
      <w:r>
        <w:rPr>
          <w:rFonts w:asciiTheme="majorHAnsi" w:hAnsiTheme="majorHAnsi"/>
          <w:lang w:val="ro-RO"/>
        </w:rPr>
        <w:t>GM Voinescu;</w:t>
      </w:r>
    </w:p>
    <w:p w:rsidR="00576AA7" w:rsidRDefault="00576AA7" w:rsidP="00576AA7">
      <w:pPr>
        <w:pStyle w:val="a3"/>
        <w:numPr>
          <w:ilvl w:val="0"/>
          <w:numId w:val="3"/>
        </w:numPr>
        <w:jc w:val="both"/>
        <w:rPr>
          <w:rFonts w:asciiTheme="majorHAnsi" w:hAnsiTheme="majorHAnsi"/>
          <w:lang w:val="ro-RO"/>
        </w:rPr>
      </w:pPr>
      <w:r>
        <w:rPr>
          <w:rFonts w:asciiTheme="majorHAnsi" w:hAnsiTheme="majorHAnsi"/>
          <w:lang w:val="ro-RO"/>
        </w:rPr>
        <w:t>LT Lăpuşna;</w:t>
      </w:r>
    </w:p>
    <w:p w:rsidR="00576AA7" w:rsidRDefault="00576AA7" w:rsidP="00576AA7">
      <w:pPr>
        <w:pStyle w:val="a3"/>
        <w:numPr>
          <w:ilvl w:val="0"/>
          <w:numId w:val="3"/>
        </w:numPr>
        <w:jc w:val="both"/>
        <w:rPr>
          <w:rFonts w:asciiTheme="majorHAnsi" w:hAnsiTheme="majorHAnsi"/>
          <w:lang w:val="ro-RO"/>
        </w:rPr>
      </w:pPr>
      <w:r>
        <w:rPr>
          <w:rFonts w:asciiTheme="majorHAnsi" w:hAnsiTheme="majorHAnsi"/>
          <w:lang w:val="ro-RO"/>
        </w:rPr>
        <w:t>LT „A. Donici” Ciuciuleni;</w:t>
      </w:r>
    </w:p>
    <w:p w:rsidR="00576AA7" w:rsidRDefault="00576AA7" w:rsidP="00576AA7">
      <w:pPr>
        <w:pStyle w:val="a3"/>
        <w:numPr>
          <w:ilvl w:val="0"/>
          <w:numId w:val="3"/>
        </w:numPr>
        <w:jc w:val="both"/>
        <w:rPr>
          <w:rFonts w:asciiTheme="majorHAnsi" w:hAnsiTheme="majorHAnsi"/>
          <w:lang w:val="ro-RO"/>
        </w:rPr>
      </w:pPr>
      <w:r>
        <w:rPr>
          <w:rFonts w:asciiTheme="majorHAnsi" w:hAnsiTheme="majorHAnsi"/>
          <w:lang w:val="ro-RO"/>
        </w:rPr>
        <w:t>Grădiniţa nr. 3 Cărpineni;</w:t>
      </w:r>
    </w:p>
    <w:p w:rsidR="00576AA7" w:rsidRDefault="00576AA7" w:rsidP="00576AA7">
      <w:pPr>
        <w:pStyle w:val="a3"/>
        <w:numPr>
          <w:ilvl w:val="0"/>
          <w:numId w:val="3"/>
        </w:numPr>
        <w:jc w:val="both"/>
        <w:rPr>
          <w:rFonts w:asciiTheme="majorHAnsi" w:hAnsiTheme="majorHAnsi"/>
          <w:lang w:val="ro-RO"/>
        </w:rPr>
      </w:pPr>
      <w:r>
        <w:rPr>
          <w:rFonts w:asciiTheme="majorHAnsi" w:hAnsiTheme="majorHAnsi"/>
          <w:lang w:val="ro-RO"/>
        </w:rPr>
        <w:t>Grădiniţa Lăpuşna;</w:t>
      </w:r>
    </w:p>
    <w:p w:rsidR="00576AA7" w:rsidRDefault="00576AA7" w:rsidP="00576AA7">
      <w:pPr>
        <w:pStyle w:val="a3"/>
        <w:numPr>
          <w:ilvl w:val="0"/>
          <w:numId w:val="3"/>
        </w:numPr>
        <w:jc w:val="both"/>
        <w:rPr>
          <w:rFonts w:asciiTheme="majorHAnsi" w:hAnsiTheme="majorHAnsi"/>
          <w:lang w:val="ro-RO"/>
        </w:rPr>
      </w:pPr>
      <w:r>
        <w:rPr>
          <w:rFonts w:asciiTheme="majorHAnsi" w:hAnsiTheme="majorHAnsi"/>
          <w:lang w:val="ro-RO"/>
        </w:rPr>
        <w:t>Grădiniţa Mingir</w:t>
      </w:r>
    </w:p>
    <w:p w:rsidR="00576AA7" w:rsidRDefault="00576AA7" w:rsidP="00576AA7">
      <w:pPr>
        <w:pStyle w:val="a3"/>
        <w:numPr>
          <w:ilvl w:val="0"/>
          <w:numId w:val="1"/>
        </w:numPr>
        <w:jc w:val="both"/>
        <w:rPr>
          <w:rFonts w:asciiTheme="majorHAnsi" w:hAnsiTheme="majorHAnsi"/>
          <w:lang w:val="ro-RO"/>
        </w:rPr>
      </w:pPr>
      <w:r>
        <w:rPr>
          <w:rFonts w:asciiTheme="majorHAnsi" w:hAnsiTheme="majorHAnsi"/>
          <w:lang w:val="ro-RO"/>
        </w:rPr>
        <w:t xml:space="preserve">Se organizează, pe lîngă instituţiile educaţionale cu centre de resurse, </w:t>
      </w:r>
      <w:r w:rsidR="00904048">
        <w:rPr>
          <w:rFonts w:asciiTheme="majorHAnsi" w:hAnsiTheme="majorHAnsi"/>
          <w:lang w:val="ro-RO"/>
        </w:rPr>
        <w:t>alimentarea copiilor cu CES, beneficiarii serviciului de educaţie incluzivă:</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LT „M. Sadoveanu” – 28 beneficiari;</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LT „M. Eminescu” – 20</w:t>
      </w:r>
      <w:r w:rsidR="001E648B" w:rsidRPr="001E648B">
        <w:rPr>
          <w:rFonts w:asciiTheme="majorHAnsi" w:hAnsiTheme="majorHAnsi"/>
          <w:lang w:val="ro-RO"/>
        </w:rPr>
        <w:t xml:space="preserve"> </w:t>
      </w:r>
      <w:r w:rsidR="001E648B">
        <w:rPr>
          <w:rFonts w:asciiTheme="majorHAnsi" w:hAnsiTheme="majorHAnsi"/>
          <w:lang w:val="ro-RO"/>
        </w:rPr>
        <w:t xml:space="preserve">beneficiari </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LT Bobeica – 24</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LT „S. Andreev” Cioara – 15</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LT Lăpuşna – 28</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LT Mingir – 15</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LT „C. Radu” Leuşeni – 27</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LT „Şt. Holban” Cărpineni – 25</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LT „Universum” Sărata Galbenă – 25</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lastRenderedPageBreak/>
        <w:t>LT „A. Donici” Ciuciuleni – 18</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LT „Dm. Cantemir” Crasnoarmeiscoe – 13</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GM „M. Viteazul” – 14</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GM Boghiceni – 20</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GM Călmăţui – 15</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GM Dancu – 18</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GM Drăguşenii Noi – 12</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GM Fundul Galbenei – 12</w:t>
      </w:r>
      <w:r w:rsidR="001E648B" w:rsidRPr="001E648B">
        <w:rPr>
          <w:rFonts w:asciiTheme="majorHAnsi" w:hAnsiTheme="majorHAnsi"/>
          <w:lang w:val="ro-RO"/>
        </w:rPr>
        <w:t xml:space="preserve"> </w:t>
      </w:r>
      <w:r w:rsidR="001E648B">
        <w:rPr>
          <w:rFonts w:asciiTheme="majorHAnsi" w:hAnsiTheme="majorHAnsi"/>
          <w:lang w:val="ro-RO"/>
        </w:rPr>
        <w:t xml:space="preserve"> 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GM Logăneşti – 22</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GM Pogăneşti – 12</w:t>
      </w:r>
      <w:r w:rsidR="001E648B" w:rsidRPr="001E648B">
        <w:rPr>
          <w:rFonts w:asciiTheme="majorHAnsi" w:hAnsiTheme="majorHAnsi"/>
          <w:lang w:val="ro-RO"/>
        </w:rPr>
        <w:t xml:space="preserve"> </w:t>
      </w:r>
      <w:r w:rsidR="001E648B">
        <w:rPr>
          <w:rFonts w:asciiTheme="majorHAnsi" w:hAnsiTheme="majorHAnsi"/>
          <w:lang w:val="ro-RO"/>
        </w:rPr>
        <w:t xml:space="preserve"> 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GM Paşcani – 14</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GM Nemţeni – 12</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GM Secăreni – 14</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GM Stolniceni – 9</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GM Voinescu – 11</w:t>
      </w:r>
      <w:r w:rsidR="001E648B" w:rsidRPr="001E648B">
        <w:rPr>
          <w:rFonts w:asciiTheme="majorHAnsi" w:hAnsiTheme="majorHAnsi"/>
          <w:lang w:val="ro-RO"/>
        </w:rPr>
        <w:t xml:space="preserve"> </w:t>
      </w:r>
      <w:r w:rsidR="001E648B">
        <w:rPr>
          <w:rFonts w:asciiTheme="majorHAnsi" w:hAnsiTheme="majorHAnsi"/>
          <w:lang w:val="ro-RO"/>
        </w:rPr>
        <w:t>beneficiari</w:t>
      </w:r>
      <w:r>
        <w:rPr>
          <w:rFonts w:asciiTheme="majorHAnsi" w:hAnsiTheme="majorHAnsi"/>
          <w:lang w:val="ro-RO"/>
        </w:rPr>
        <w:t>;</w:t>
      </w:r>
    </w:p>
    <w:p w:rsidR="00904048" w:rsidRDefault="00904048" w:rsidP="00904048">
      <w:pPr>
        <w:pStyle w:val="a3"/>
        <w:numPr>
          <w:ilvl w:val="0"/>
          <w:numId w:val="4"/>
        </w:numPr>
        <w:jc w:val="both"/>
        <w:rPr>
          <w:rFonts w:asciiTheme="majorHAnsi" w:hAnsiTheme="majorHAnsi"/>
          <w:lang w:val="ro-RO"/>
        </w:rPr>
      </w:pPr>
      <w:r>
        <w:rPr>
          <w:rFonts w:asciiTheme="majorHAnsi" w:hAnsiTheme="majorHAnsi"/>
          <w:lang w:val="ro-RO"/>
        </w:rPr>
        <w:t>Şcoala primară Mingir – 12</w:t>
      </w:r>
      <w:r w:rsidR="001E648B" w:rsidRPr="001E648B">
        <w:rPr>
          <w:rFonts w:asciiTheme="majorHAnsi" w:hAnsiTheme="majorHAnsi"/>
          <w:lang w:val="ro-RO"/>
        </w:rPr>
        <w:t xml:space="preserve"> </w:t>
      </w:r>
      <w:r w:rsidR="001E648B">
        <w:rPr>
          <w:rFonts w:asciiTheme="majorHAnsi" w:hAnsiTheme="majorHAnsi"/>
          <w:lang w:val="ro-RO"/>
        </w:rPr>
        <w:t xml:space="preserve"> beneficiari</w:t>
      </w:r>
    </w:p>
    <w:p w:rsidR="00904048" w:rsidRDefault="00E62639" w:rsidP="001A5DE4">
      <w:pPr>
        <w:pStyle w:val="a3"/>
        <w:numPr>
          <w:ilvl w:val="0"/>
          <w:numId w:val="1"/>
        </w:numPr>
        <w:jc w:val="both"/>
        <w:rPr>
          <w:rFonts w:asciiTheme="majorHAnsi" w:hAnsiTheme="majorHAnsi"/>
          <w:lang w:val="ro-RO"/>
        </w:rPr>
      </w:pPr>
      <w:r>
        <w:rPr>
          <w:rFonts w:asciiTheme="majorHAnsi" w:hAnsiTheme="majorHAnsi"/>
          <w:lang w:val="ro-RO"/>
        </w:rPr>
        <w:t>Se organizează învăţămîntul la domiciliu, cu achitarea serviciilor din contul cheltuielilor prevăzute pentru educaţia incluzivă, pentru următorii elevi din instituţiile raionului:</w:t>
      </w:r>
    </w:p>
    <w:p w:rsidR="00E62639" w:rsidRDefault="001F0ABD" w:rsidP="00E62639">
      <w:pPr>
        <w:pStyle w:val="a3"/>
        <w:numPr>
          <w:ilvl w:val="0"/>
          <w:numId w:val="5"/>
        </w:numPr>
        <w:jc w:val="both"/>
        <w:rPr>
          <w:rFonts w:asciiTheme="majorHAnsi" w:hAnsiTheme="majorHAnsi"/>
          <w:lang w:val="ro-RO"/>
        </w:rPr>
      </w:pPr>
      <w:r>
        <w:rPr>
          <w:rFonts w:asciiTheme="majorHAnsi" w:hAnsiTheme="majorHAnsi"/>
          <w:lang w:val="ro-RO"/>
        </w:rPr>
        <w:t>Mîrza Aliona, LT „Dm. Cantemir” Crasnoarmeiscoe;</w:t>
      </w:r>
    </w:p>
    <w:p w:rsidR="001F0ABD" w:rsidRDefault="001F0ABD" w:rsidP="001F0ABD">
      <w:pPr>
        <w:pStyle w:val="a3"/>
        <w:numPr>
          <w:ilvl w:val="0"/>
          <w:numId w:val="5"/>
        </w:numPr>
        <w:jc w:val="both"/>
        <w:rPr>
          <w:rFonts w:asciiTheme="majorHAnsi" w:hAnsiTheme="majorHAnsi"/>
          <w:lang w:val="ro-RO"/>
        </w:rPr>
      </w:pPr>
      <w:r>
        <w:rPr>
          <w:rFonts w:asciiTheme="majorHAnsi" w:hAnsiTheme="majorHAnsi"/>
          <w:lang w:val="ro-RO"/>
        </w:rPr>
        <w:t>Sandu Aliona, LT „Dm. Cantemir” Crasnoarmeiscoe;</w:t>
      </w:r>
    </w:p>
    <w:p w:rsidR="001F0ABD" w:rsidRDefault="001F0ABD" w:rsidP="00E62639">
      <w:pPr>
        <w:pStyle w:val="a3"/>
        <w:numPr>
          <w:ilvl w:val="0"/>
          <w:numId w:val="5"/>
        </w:numPr>
        <w:jc w:val="both"/>
        <w:rPr>
          <w:rFonts w:asciiTheme="majorHAnsi" w:hAnsiTheme="majorHAnsi"/>
          <w:lang w:val="ro-RO"/>
        </w:rPr>
      </w:pPr>
      <w:r>
        <w:rPr>
          <w:rFonts w:asciiTheme="majorHAnsi" w:hAnsiTheme="majorHAnsi"/>
          <w:lang w:val="ro-RO"/>
        </w:rPr>
        <w:t>Rotaru Gheorghe, GM Paşcani;</w:t>
      </w:r>
    </w:p>
    <w:p w:rsidR="001F0ABD" w:rsidRDefault="001F0ABD" w:rsidP="00E62639">
      <w:pPr>
        <w:pStyle w:val="a3"/>
        <w:numPr>
          <w:ilvl w:val="0"/>
          <w:numId w:val="5"/>
        </w:numPr>
        <w:jc w:val="both"/>
        <w:rPr>
          <w:rFonts w:asciiTheme="majorHAnsi" w:hAnsiTheme="majorHAnsi"/>
          <w:lang w:val="ro-RO"/>
        </w:rPr>
      </w:pPr>
      <w:r>
        <w:rPr>
          <w:rFonts w:asciiTheme="majorHAnsi" w:hAnsiTheme="majorHAnsi"/>
          <w:lang w:val="ro-RO"/>
        </w:rPr>
        <w:t>Paraschiv Daniel, ŞPG Fîrlădeni;</w:t>
      </w:r>
    </w:p>
    <w:p w:rsidR="001F0ABD" w:rsidRDefault="001F0ABD" w:rsidP="00E62639">
      <w:pPr>
        <w:pStyle w:val="a3"/>
        <w:numPr>
          <w:ilvl w:val="0"/>
          <w:numId w:val="5"/>
        </w:numPr>
        <w:jc w:val="both"/>
        <w:rPr>
          <w:rFonts w:asciiTheme="majorHAnsi" w:hAnsiTheme="majorHAnsi"/>
          <w:lang w:val="ro-RO"/>
        </w:rPr>
      </w:pPr>
      <w:r>
        <w:rPr>
          <w:rFonts w:asciiTheme="majorHAnsi" w:hAnsiTheme="majorHAnsi"/>
          <w:lang w:val="ro-RO"/>
        </w:rPr>
        <w:t>Barbărasă Mihail, LT Lăpuşna;</w:t>
      </w:r>
    </w:p>
    <w:p w:rsidR="001F0ABD" w:rsidRDefault="001F0ABD" w:rsidP="00E62639">
      <w:pPr>
        <w:pStyle w:val="a3"/>
        <w:numPr>
          <w:ilvl w:val="0"/>
          <w:numId w:val="5"/>
        </w:numPr>
        <w:jc w:val="both"/>
        <w:rPr>
          <w:rFonts w:asciiTheme="majorHAnsi" w:hAnsiTheme="majorHAnsi"/>
          <w:lang w:val="ro-RO"/>
        </w:rPr>
      </w:pPr>
      <w:r>
        <w:rPr>
          <w:rFonts w:asciiTheme="majorHAnsi" w:hAnsiTheme="majorHAnsi"/>
          <w:lang w:val="ro-RO"/>
        </w:rPr>
        <w:t>Barbărasă Victor, LT Lăpuşna;</w:t>
      </w:r>
    </w:p>
    <w:p w:rsidR="001F0ABD" w:rsidRDefault="001F0ABD" w:rsidP="001F0ABD">
      <w:pPr>
        <w:pStyle w:val="a3"/>
        <w:numPr>
          <w:ilvl w:val="0"/>
          <w:numId w:val="5"/>
        </w:numPr>
        <w:jc w:val="both"/>
        <w:rPr>
          <w:rFonts w:asciiTheme="majorHAnsi" w:hAnsiTheme="majorHAnsi"/>
          <w:lang w:val="ro-RO"/>
        </w:rPr>
      </w:pPr>
      <w:r>
        <w:rPr>
          <w:rFonts w:asciiTheme="majorHAnsi" w:hAnsiTheme="majorHAnsi"/>
          <w:lang w:val="ro-RO"/>
        </w:rPr>
        <w:t>Mladan Alexandru, LT „Dm. Cantemir” Crasnoarmeiscoe;</w:t>
      </w:r>
    </w:p>
    <w:p w:rsidR="001F0ABD" w:rsidRDefault="001F0ABD" w:rsidP="00E62639">
      <w:pPr>
        <w:pStyle w:val="a3"/>
        <w:numPr>
          <w:ilvl w:val="0"/>
          <w:numId w:val="5"/>
        </w:numPr>
        <w:jc w:val="both"/>
        <w:rPr>
          <w:rFonts w:asciiTheme="majorHAnsi" w:hAnsiTheme="majorHAnsi"/>
          <w:lang w:val="ro-RO"/>
        </w:rPr>
      </w:pPr>
      <w:r>
        <w:rPr>
          <w:rFonts w:asciiTheme="majorHAnsi" w:hAnsiTheme="majorHAnsi"/>
          <w:lang w:val="ro-RO"/>
        </w:rPr>
        <w:t>Iacob Adrian, GM nr. 3 Cărpineni;</w:t>
      </w:r>
    </w:p>
    <w:p w:rsidR="001F0ABD" w:rsidRDefault="001F0ABD" w:rsidP="00E62639">
      <w:pPr>
        <w:pStyle w:val="a3"/>
        <w:numPr>
          <w:ilvl w:val="0"/>
          <w:numId w:val="5"/>
        </w:numPr>
        <w:jc w:val="both"/>
        <w:rPr>
          <w:rFonts w:asciiTheme="majorHAnsi" w:hAnsiTheme="majorHAnsi"/>
          <w:lang w:val="ro-RO"/>
        </w:rPr>
      </w:pPr>
      <w:r>
        <w:rPr>
          <w:rFonts w:asciiTheme="majorHAnsi" w:hAnsiTheme="majorHAnsi"/>
          <w:lang w:val="ro-RO"/>
        </w:rPr>
        <w:t>Diacenco Marina, LT „Universum” Sărata Galbenă;</w:t>
      </w:r>
    </w:p>
    <w:p w:rsidR="001F0ABD" w:rsidRDefault="001F0ABD" w:rsidP="00E62639">
      <w:pPr>
        <w:pStyle w:val="a3"/>
        <w:numPr>
          <w:ilvl w:val="0"/>
          <w:numId w:val="5"/>
        </w:numPr>
        <w:jc w:val="both"/>
        <w:rPr>
          <w:rFonts w:asciiTheme="majorHAnsi" w:hAnsiTheme="majorHAnsi"/>
          <w:lang w:val="ro-RO"/>
        </w:rPr>
      </w:pPr>
      <w:r>
        <w:rPr>
          <w:rFonts w:asciiTheme="majorHAnsi" w:hAnsiTheme="majorHAnsi"/>
          <w:lang w:val="ro-RO"/>
        </w:rPr>
        <w:t>Secrieru Tatiana, GM Stolniceni.</w:t>
      </w:r>
    </w:p>
    <w:p w:rsidR="00380E95" w:rsidRDefault="00380E95" w:rsidP="00380E95">
      <w:pPr>
        <w:pStyle w:val="a3"/>
        <w:numPr>
          <w:ilvl w:val="0"/>
          <w:numId w:val="1"/>
        </w:numPr>
        <w:jc w:val="both"/>
        <w:rPr>
          <w:rFonts w:asciiTheme="majorHAnsi" w:hAnsiTheme="majorHAnsi"/>
          <w:lang w:val="ro-RO"/>
        </w:rPr>
      </w:pPr>
      <w:r>
        <w:rPr>
          <w:rFonts w:asciiTheme="majorHAnsi" w:hAnsiTheme="majorHAnsi"/>
          <w:lang w:val="ro-RO"/>
        </w:rPr>
        <w:t>Serviciul de Asistenţă Psihopedagogică (dna Iusco Maria), responsabilul de educaţia incluzivă (dna Scutaru Oxana):</w:t>
      </w:r>
    </w:p>
    <w:p w:rsidR="00380E95" w:rsidRPr="00B32183" w:rsidRDefault="00380E95" w:rsidP="00B32183">
      <w:pPr>
        <w:pStyle w:val="a3"/>
        <w:numPr>
          <w:ilvl w:val="0"/>
          <w:numId w:val="9"/>
        </w:numPr>
        <w:jc w:val="both"/>
        <w:rPr>
          <w:rFonts w:asciiTheme="majorHAnsi" w:hAnsiTheme="majorHAnsi"/>
          <w:lang w:val="ro-RO"/>
        </w:rPr>
      </w:pPr>
      <w:r w:rsidRPr="00B32183">
        <w:rPr>
          <w:rFonts w:asciiTheme="majorHAnsi" w:hAnsiTheme="majorHAnsi"/>
          <w:lang w:val="ro-RO"/>
        </w:rPr>
        <w:t>Vor asista metodologic instituţiile educaţionale în coordonarea activităţii cadrului didactic de sprijin şi a centrului de resurse;</w:t>
      </w:r>
    </w:p>
    <w:p w:rsidR="00380E95" w:rsidRPr="00B32183" w:rsidRDefault="00380E95" w:rsidP="00B32183">
      <w:pPr>
        <w:pStyle w:val="a3"/>
        <w:numPr>
          <w:ilvl w:val="0"/>
          <w:numId w:val="9"/>
        </w:numPr>
        <w:jc w:val="both"/>
        <w:rPr>
          <w:rFonts w:asciiTheme="majorHAnsi" w:hAnsiTheme="majorHAnsi"/>
          <w:lang w:val="ro-RO"/>
        </w:rPr>
      </w:pPr>
      <w:r w:rsidRPr="00B32183">
        <w:rPr>
          <w:rFonts w:asciiTheme="majorHAnsi" w:hAnsiTheme="majorHAnsi"/>
          <w:lang w:val="ro-RO"/>
        </w:rPr>
        <w:t>Vor organiza informarea, documentarea, formarea continuă a cadrelor didactice antrenate în educaţia copiilor cu cerinţe educaţionale speciale;</w:t>
      </w:r>
    </w:p>
    <w:p w:rsidR="00380E95" w:rsidRPr="00B32183" w:rsidRDefault="00380E95" w:rsidP="00B32183">
      <w:pPr>
        <w:pStyle w:val="a3"/>
        <w:numPr>
          <w:ilvl w:val="0"/>
          <w:numId w:val="9"/>
        </w:numPr>
        <w:jc w:val="both"/>
        <w:rPr>
          <w:rFonts w:asciiTheme="majorHAnsi" w:hAnsiTheme="majorHAnsi"/>
          <w:lang w:val="ro-RO"/>
        </w:rPr>
      </w:pPr>
      <w:r w:rsidRPr="00B32183">
        <w:rPr>
          <w:rFonts w:asciiTheme="majorHAnsi" w:hAnsiTheme="majorHAnsi"/>
          <w:lang w:val="ro-RO"/>
        </w:rPr>
        <w:t>Vor monitoriza procesul de incluziune în învăţămîntul general a copiilor cu cerinţe educaţionale speciale şi a celor dezinstituţionalizaţi din învăţămîntul rezidenţial.</w:t>
      </w:r>
    </w:p>
    <w:p w:rsidR="00380E95" w:rsidRDefault="00380E95" w:rsidP="00380E95">
      <w:pPr>
        <w:pStyle w:val="a3"/>
        <w:numPr>
          <w:ilvl w:val="0"/>
          <w:numId w:val="1"/>
        </w:numPr>
        <w:jc w:val="both"/>
        <w:rPr>
          <w:rFonts w:asciiTheme="majorHAnsi" w:hAnsiTheme="majorHAnsi"/>
          <w:lang w:val="ro-RO"/>
        </w:rPr>
      </w:pPr>
      <w:r>
        <w:rPr>
          <w:rFonts w:asciiTheme="majorHAnsi" w:hAnsiTheme="majorHAnsi"/>
          <w:lang w:val="ro-RO"/>
        </w:rPr>
        <w:t>Managerii instituţiilor educaţionale cu centre de resurse şi cadru didactic de sprijin:</w:t>
      </w:r>
    </w:p>
    <w:p w:rsidR="00380E95" w:rsidRDefault="00380E95" w:rsidP="00380E95">
      <w:pPr>
        <w:pStyle w:val="a3"/>
        <w:numPr>
          <w:ilvl w:val="0"/>
          <w:numId w:val="6"/>
        </w:numPr>
        <w:jc w:val="both"/>
        <w:rPr>
          <w:rFonts w:asciiTheme="majorHAnsi" w:hAnsiTheme="majorHAnsi"/>
          <w:lang w:val="ro-RO"/>
        </w:rPr>
      </w:pPr>
      <w:r>
        <w:rPr>
          <w:rFonts w:asciiTheme="majorHAnsi" w:hAnsiTheme="majorHAnsi"/>
          <w:lang w:val="ro-RO"/>
        </w:rPr>
        <w:t>Vor şcolariza în baza cererilor părinţilor (reprezentanţilor legali), copiii cu cerinţe educaţionale speciale, inclusiv cei dezinstituţionalizaţi din învăţămîntul rezidenţial;</w:t>
      </w:r>
    </w:p>
    <w:p w:rsidR="00380E95" w:rsidRDefault="00380E95" w:rsidP="00380E95">
      <w:pPr>
        <w:pStyle w:val="a3"/>
        <w:numPr>
          <w:ilvl w:val="0"/>
          <w:numId w:val="6"/>
        </w:numPr>
        <w:jc w:val="both"/>
        <w:rPr>
          <w:rFonts w:asciiTheme="majorHAnsi" w:hAnsiTheme="majorHAnsi"/>
          <w:lang w:val="ro-RO"/>
        </w:rPr>
      </w:pPr>
      <w:r>
        <w:rPr>
          <w:rFonts w:asciiTheme="majorHAnsi" w:hAnsiTheme="majorHAnsi"/>
          <w:lang w:val="ro-RO"/>
        </w:rPr>
        <w:t>Vor asigura funcţionalitatea centrului de resurse, elaborînd orarul de activitate al acestuia;</w:t>
      </w:r>
    </w:p>
    <w:p w:rsidR="00380E95" w:rsidRDefault="00380E95" w:rsidP="00380E95">
      <w:pPr>
        <w:pStyle w:val="a3"/>
        <w:numPr>
          <w:ilvl w:val="0"/>
          <w:numId w:val="6"/>
        </w:numPr>
        <w:jc w:val="both"/>
        <w:rPr>
          <w:rFonts w:asciiTheme="majorHAnsi" w:hAnsiTheme="majorHAnsi"/>
          <w:lang w:val="ro-RO"/>
        </w:rPr>
      </w:pPr>
      <w:r>
        <w:rPr>
          <w:rFonts w:asciiTheme="majorHAnsi" w:hAnsiTheme="majorHAnsi"/>
          <w:lang w:val="ro-RO"/>
        </w:rPr>
        <w:t>Vor aproba graficul de activitate a cadrului didactic de sprijin, monitorizîndu-</w:t>
      </w:r>
      <w:r w:rsidR="00B32183">
        <w:rPr>
          <w:rFonts w:asciiTheme="majorHAnsi" w:hAnsiTheme="majorHAnsi"/>
          <w:lang w:val="ro-RO"/>
        </w:rPr>
        <w:t>i serviciul prestat</w:t>
      </w:r>
      <w:r>
        <w:rPr>
          <w:rFonts w:asciiTheme="majorHAnsi" w:hAnsiTheme="majorHAnsi"/>
          <w:lang w:val="ro-RO"/>
        </w:rPr>
        <w:t xml:space="preserve">; </w:t>
      </w:r>
    </w:p>
    <w:p w:rsidR="00380E95" w:rsidRDefault="00380E95" w:rsidP="00380E95">
      <w:pPr>
        <w:pStyle w:val="a3"/>
        <w:numPr>
          <w:ilvl w:val="0"/>
          <w:numId w:val="6"/>
        </w:numPr>
        <w:jc w:val="both"/>
        <w:rPr>
          <w:rFonts w:asciiTheme="majorHAnsi" w:hAnsiTheme="majorHAnsi"/>
          <w:lang w:val="ro-RO"/>
        </w:rPr>
      </w:pPr>
      <w:r>
        <w:rPr>
          <w:rFonts w:asciiTheme="majorHAnsi" w:hAnsiTheme="majorHAnsi"/>
          <w:lang w:val="ro-RO"/>
        </w:rPr>
        <w:t>Vor raporta Direcţiei Învăţămînt, lunar, despre numărul beneficiarilor şi progresul şcolar al acestora.</w:t>
      </w:r>
    </w:p>
    <w:p w:rsidR="00525E40" w:rsidRDefault="00525E40" w:rsidP="00525E40">
      <w:pPr>
        <w:pStyle w:val="a3"/>
        <w:numPr>
          <w:ilvl w:val="0"/>
          <w:numId w:val="1"/>
        </w:numPr>
        <w:jc w:val="both"/>
        <w:rPr>
          <w:rFonts w:asciiTheme="majorHAnsi" w:hAnsiTheme="majorHAnsi"/>
          <w:lang w:val="ro-RO"/>
        </w:rPr>
      </w:pPr>
      <w:r>
        <w:rPr>
          <w:rFonts w:asciiTheme="majorHAnsi" w:hAnsiTheme="majorHAnsi"/>
          <w:lang w:val="ro-RO"/>
        </w:rPr>
        <w:t>Responsabili de executarea prezentului ordin se desemnează: dna Iusco Maria, şefa Serviciului de Asistenţă PsihoPedagogic raional, dna Scutaru Oxana, specialist principal, directorii instituţiilor cu practici incluzive.</w:t>
      </w:r>
    </w:p>
    <w:p w:rsidR="00525E40" w:rsidRPr="001F0ABD" w:rsidRDefault="00525E40" w:rsidP="001F0ABD">
      <w:pPr>
        <w:pStyle w:val="a3"/>
        <w:numPr>
          <w:ilvl w:val="0"/>
          <w:numId w:val="1"/>
        </w:numPr>
        <w:jc w:val="both"/>
        <w:rPr>
          <w:rFonts w:asciiTheme="majorHAnsi" w:hAnsiTheme="majorHAnsi"/>
          <w:lang w:val="ro-RO"/>
        </w:rPr>
      </w:pPr>
      <w:r>
        <w:rPr>
          <w:rFonts w:asciiTheme="majorHAnsi" w:hAnsiTheme="majorHAnsi"/>
          <w:lang w:val="ro-RO"/>
        </w:rPr>
        <w:t>Monitorizarea modului de îndeplinire a prezentului ordin mi-o asum.</w:t>
      </w:r>
    </w:p>
    <w:p w:rsidR="001F0ABD" w:rsidRDefault="001F0ABD" w:rsidP="0075643A">
      <w:pPr>
        <w:ind w:left="720"/>
        <w:rPr>
          <w:rFonts w:asciiTheme="majorHAnsi" w:hAnsiTheme="majorHAnsi"/>
          <w:b/>
          <w:lang w:val="ro-RO"/>
        </w:rPr>
      </w:pPr>
    </w:p>
    <w:p w:rsidR="00525E40" w:rsidRPr="00525E40" w:rsidRDefault="00525E40" w:rsidP="0075643A">
      <w:pPr>
        <w:ind w:left="720"/>
        <w:rPr>
          <w:rFonts w:asciiTheme="majorHAnsi" w:hAnsiTheme="majorHAnsi"/>
          <w:b/>
          <w:lang w:val="ro-RO"/>
        </w:rPr>
      </w:pPr>
      <w:r w:rsidRPr="00525E40">
        <w:rPr>
          <w:rFonts w:asciiTheme="majorHAnsi" w:hAnsiTheme="majorHAnsi"/>
          <w:b/>
          <w:lang w:val="ro-RO"/>
        </w:rPr>
        <w:t>Şefa DÎ Hînceşti</w:t>
      </w:r>
      <w:r w:rsidRPr="00525E40">
        <w:rPr>
          <w:rFonts w:asciiTheme="majorHAnsi" w:hAnsiTheme="majorHAnsi"/>
          <w:b/>
          <w:lang w:val="ro-RO"/>
        </w:rPr>
        <w:tab/>
      </w:r>
      <w:r w:rsidRPr="00525E40">
        <w:rPr>
          <w:rFonts w:asciiTheme="majorHAnsi" w:hAnsiTheme="majorHAnsi"/>
          <w:b/>
          <w:lang w:val="ro-RO"/>
        </w:rPr>
        <w:tab/>
      </w:r>
      <w:r w:rsidRPr="00525E40">
        <w:rPr>
          <w:rFonts w:asciiTheme="majorHAnsi" w:hAnsiTheme="majorHAnsi"/>
          <w:b/>
          <w:lang w:val="ro-RO"/>
        </w:rPr>
        <w:tab/>
      </w:r>
      <w:r w:rsidR="0075643A">
        <w:rPr>
          <w:rFonts w:asciiTheme="majorHAnsi" w:hAnsiTheme="majorHAnsi"/>
          <w:b/>
          <w:lang w:val="ro-RO"/>
        </w:rPr>
        <w:tab/>
      </w:r>
      <w:r w:rsidRPr="00525E40">
        <w:rPr>
          <w:rFonts w:asciiTheme="majorHAnsi" w:hAnsiTheme="majorHAnsi"/>
          <w:b/>
          <w:lang w:val="ro-RO"/>
        </w:rPr>
        <w:tab/>
      </w:r>
      <w:r w:rsidRPr="00525E40">
        <w:rPr>
          <w:rFonts w:asciiTheme="majorHAnsi" w:hAnsiTheme="majorHAnsi"/>
          <w:b/>
          <w:lang w:val="ro-RO"/>
        </w:rPr>
        <w:tab/>
        <w:t>Valentina Tonu</w:t>
      </w:r>
    </w:p>
    <w:sectPr w:rsidR="00525E40" w:rsidRPr="00525E40" w:rsidSect="001F0ABD">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38A"/>
    <w:multiLevelType w:val="hybridMultilevel"/>
    <w:tmpl w:val="9F983666"/>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2F13C3A"/>
    <w:multiLevelType w:val="hybridMultilevel"/>
    <w:tmpl w:val="888CC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185D14"/>
    <w:multiLevelType w:val="hybridMultilevel"/>
    <w:tmpl w:val="471088A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32010586"/>
    <w:multiLevelType w:val="hybridMultilevel"/>
    <w:tmpl w:val="88F6AB2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49D7759"/>
    <w:multiLevelType w:val="hybridMultilevel"/>
    <w:tmpl w:val="90E87BB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7581106"/>
    <w:multiLevelType w:val="hybridMultilevel"/>
    <w:tmpl w:val="BAE45A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F4444DA"/>
    <w:multiLevelType w:val="hybridMultilevel"/>
    <w:tmpl w:val="9D0698BA"/>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27F359A"/>
    <w:multiLevelType w:val="hybridMultilevel"/>
    <w:tmpl w:val="CD4ECF02"/>
    <w:lvl w:ilvl="0" w:tplc="FC38B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CE5E69"/>
    <w:multiLevelType w:val="hybridMultilevel"/>
    <w:tmpl w:val="6BE0E7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0"/>
  </w:num>
  <w:num w:numId="6">
    <w:abstractNumId w:val="8"/>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567"/>
    <w:rsid w:val="001A5DE4"/>
    <w:rsid w:val="001E648B"/>
    <w:rsid w:val="001F0ABD"/>
    <w:rsid w:val="00217526"/>
    <w:rsid w:val="00380E95"/>
    <w:rsid w:val="00525E40"/>
    <w:rsid w:val="00576AA7"/>
    <w:rsid w:val="0063779E"/>
    <w:rsid w:val="006D6645"/>
    <w:rsid w:val="006F2C24"/>
    <w:rsid w:val="00701CF6"/>
    <w:rsid w:val="0075643A"/>
    <w:rsid w:val="007D6035"/>
    <w:rsid w:val="00870567"/>
    <w:rsid w:val="00897537"/>
    <w:rsid w:val="00904048"/>
    <w:rsid w:val="00AB0AB4"/>
    <w:rsid w:val="00B32183"/>
    <w:rsid w:val="00D10FA0"/>
    <w:rsid w:val="00E62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2013-10-10T12:33:00Z</cp:lastPrinted>
  <dcterms:created xsi:type="dcterms:W3CDTF">2013-10-10T10:06:00Z</dcterms:created>
  <dcterms:modified xsi:type="dcterms:W3CDTF">2013-10-10T13:43:00Z</dcterms:modified>
</cp:coreProperties>
</file>